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12" w:rsidRDefault="007E2512" w:rsidP="007E2512"/>
    <w:p w:rsidR="007E2512" w:rsidRPr="007E2512" w:rsidRDefault="007E2512" w:rsidP="007E2512"/>
    <w:p w:rsidR="007E2512" w:rsidRDefault="007E2512" w:rsidP="007E2512"/>
    <w:p w:rsidR="007E2512" w:rsidRPr="007E2512" w:rsidRDefault="007E2512" w:rsidP="007E25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3"/>
          <w:u w:val="single"/>
        </w:rPr>
      </w:pPr>
      <w:r>
        <w:tab/>
      </w:r>
      <w:r w:rsidRPr="007E2512">
        <w:rPr>
          <w:rFonts w:ascii="Times New Roman" w:hAnsi="Times New Roman" w:cs="Times New Roman"/>
          <w:spacing w:val="-3"/>
          <w:u w:val="single"/>
        </w:rPr>
        <w:t>Comunicado de Prensa</w:t>
      </w:r>
    </w:p>
    <w:p w:rsidR="007E2512" w:rsidRPr="007E2512" w:rsidRDefault="007E2512" w:rsidP="007E25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3"/>
          <w:u w:val="single"/>
        </w:rPr>
      </w:pPr>
    </w:p>
    <w:p w:rsidR="007E2512" w:rsidRPr="007E2512" w:rsidRDefault="007E2512" w:rsidP="007E25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</w:rPr>
      </w:pPr>
      <w:r w:rsidRPr="007E2512">
        <w:rPr>
          <w:rFonts w:ascii="Times New Roman" w:hAnsi="Times New Roman" w:cs="Times New Roman"/>
          <w:b/>
          <w:spacing w:val="-3"/>
        </w:rPr>
        <w:t>Corte Suprema de Justicia de Nicaragua niega a autoridades indígenas y afrodescendientes amparo en contra de Ley del Canal Interoceánico</w:t>
      </w:r>
    </w:p>
    <w:p w:rsidR="007E2512" w:rsidRPr="007E2512" w:rsidRDefault="007E2512" w:rsidP="007E25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</w:p>
    <w:p w:rsidR="007E2512" w:rsidRPr="007E2512" w:rsidRDefault="007E2512" w:rsidP="007E25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E2512">
        <w:rPr>
          <w:rFonts w:ascii="Times New Roman" w:hAnsi="Times New Roman" w:cs="Times New Roman"/>
          <w:spacing w:val="-3"/>
        </w:rPr>
        <w:t xml:space="preserve">La Corte Suprema de Justicia de Nicaragua (CSJ) negó a las autoridades del pueblo indígena Rama y de las comunidades afrodescendientes Kriol, del pueblo indígena Mískitu de Tasbapounie y de la Comunidad Negra, Creole Indígena de Bluefields el Recurso por Inconstitucionalidad interpuesto en contra </w:t>
      </w:r>
      <w:r w:rsidRPr="007E2512">
        <w:rPr>
          <w:rFonts w:ascii="Times New Roman" w:hAnsi="Times New Roman" w:cs="Times New Roman"/>
        </w:rPr>
        <w:t xml:space="preserve">de </w:t>
      </w:r>
      <w:r w:rsidRPr="007E2512">
        <w:rPr>
          <w:rFonts w:ascii="Times New Roman" w:hAnsi="Times New Roman" w:cs="Times New Roman"/>
          <w:spacing w:val="-3"/>
          <w:lang w:val="es-ES_tradnl"/>
        </w:rPr>
        <w:t>la</w:t>
      </w:r>
      <w:r w:rsidRPr="007E2512">
        <w:rPr>
          <w:rFonts w:ascii="Times New Roman" w:hAnsi="Times New Roman" w:cs="Times New Roman"/>
          <w:i/>
          <w:spacing w:val="-3"/>
          <w:lang w:val="es-ES_tradnl"/>
        </w:rPr>
        <w:t xml:space="preserve"> </w:t>
      </w:r>
      <w:r w:rsidRPr="007E2512">
        <w:rPr>
          <w:rFonts w:ascii="Times New Roman" w:hAnsi="Times New Roman" w:cs="Times New Roman"/>
          <w:bCs/>
        </w:rPr>
        <w:t xml:space="preserve">Ley 840, </w:t>
      </w:r>
      <w:r w:rsidRPr="007E2512">
        <w:rPr>
          <w:rFonts w:ascii="Times New Roman" w:hAnsi="Times New Roman" w:cs="Times New Roman"/>
        </w:rPr>
        <w:t> </w:t>
      </w:r>
      <w:r w:rsidRPr="007E2512">
        <w:rPr>
          <w:rFonts w:ascii="Times New Roman" w:hAnsi="Times New Roman" w:cs="Times New Roman"/>
          <w:bCs/>
        </w:rPr>
        <w:t>Ley Especial para el Desarrollo de Infraestructura y Transporte Nicaragüense atingente a El Canal,  Zonas de Libre Comercio e Infraestructuras Asociadas.</w:t>
      </w:r>
    </w:p>
    <w:p w:rsidR="007E2512" w:rsidRPr="007E2512" w:rsidRDefault="007E2512" w:rsidP="007E25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7E2512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7E2512" w:rsidRPr="007E2512" w:rsidRDefault="007E2512" w:rsidP="007E2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lang w:eastAsia="es-NI"/>
        </w:rPr>
      </w:pPr>
      <w:r w:rsidRPr="007E2512">
        <w:rPr>
          <w:rFonts w:ascii="Times New Roman" w:eastAsia="Times New Roman" w:hAnsi="Times New Roman" w:cs="Times New Roman"/>
          <w:color w:val="222222"/>
          <w:lang w:eastAsia="es-NI"/>
        </w:rPr>
        <w:t xml:space="preserve">En una sola sentencia de 18 páginas  la CSJ pretende resolver los 31 recursos de inconstitucionalidad que sobre la Ley 840 fueron presentados por diferentes ciudadanos, y sin abordar todos los asuntos planteados por las autoridades indígenas y afrodescendientes tales como: las referidas a violaciones al derecho a la participación política en igualdad de condiciones para todos los ciudadanos, principio del Estado de Derecho y de la democracia participativa; el pretender equiparar la Ley 840 en su reforma y derogación a las leyes constitucionales y a la Ley de Autonomía de la Costa Atlántica de Nicaragua; a la usurpación de los derechos de propiedad sobre los recursos naturales de los pueblos indígenas por parte de la Comisión del Canal; el someter a expropiación las tierras y territorios de los pueblos indígenas y afrodescendientes en violación a su régimen </w:t>
      </w:r>
      <w:r w:rsidRPr="007E2512">
        <w:rPr>
          <w:rFonts w:ascii="Times New Roman" w:eastAsia="Times New Roman" w:hAnsi="Times New Roman" w:cs="Times New Roman"/>
          <w:i/>
          <w:color w:val="222222"/>
          <w:lang w:eastAsia="es-NI"/>
        </w:rPr>
        <w:t xml:space="preserve">sui generis </w:t>
      </w:r>
      <w:r w:rsidRPr="007E2512">
        <w:rPr>
          <w:rFonts w:ascii="Times New Roman" w:eastAsia="Times New Roman" w:hAnsi="Times New Roman" w:cs="Times New Roman"/>
          <w:color w:val="222222"/>
          <w:lang w:eastAsia="es-NI"/>
        </w:rPr>
        <w:t>que establece que tales tierras son inalienables;</w:t>
      </w:r>
      <w:r w:rsidRPr="007E2512">
        <w:rPr>
          <w:rFonts w:ascii="Times New Roman" w:eastAsia="Times New Roman" w:hAnsi="Times New Roman" w:cs="Times New Roman"/>
          <w:i/>
          <w:color w:val="222222"/>
          <w:lang w:eastAsia="es-NI"/>
        </w:rPr>
        <w:t xml:space="preserve"> </w:t>
      </w:r>
      <w:r w:rsidRPr="007E2512">
        <w:rPr>
          <w:rFonts w:ascii="Times New Roman" w:eastAsia="Times New Roman" w:hAnsi="Times New Roman" w:cs="Times New Roman"/>
          <w:color w:val="222222"/>
          <w:lang w:eastAsia="es-NI"/>
        </w:rPr>
        <w:t>y</w:t>
      </w:r>
      <w:r w:rsidRPr="007E2512">
        <w:rPr>
          <w:rFonts w:ascii="Times New Roman" w:eastAsia="Times New Roman" w:hAnsi="Times New Roman" w:cs="Times New Roman"/>
          <w:i/>
          <w:color w:val="222222"/>
          <w:lang w:eastAsia="es-NI"/>
        </w:rPr>
        <w:t xml:space="preserve"> </w:t>
      </w:r>
      <w:r w:rsidRPr="007E2512">
        <w:rPr>
          <w:rFonts w:ascii="Times New Roman" w:eastAsia="Times New Roman" w:hAnsi="Times New Roman" w:cs="Times New Roman"/>
          <w:color w:val="222222"/>
          <w:lang w:eastAsia="es-NI"/>
        </w:rPr>
        <w:t>solamente refiriéndose al derecho a la consulta, lo que hace  de manera superficial y sesgada, copia el texto de algunas normas sin analizarlas suficientemente y mucho menos expresando de que manera estas aplican al presente caso. La sentencia en el Considerando II refiriéndose a la Resolución 703-23-05 2003 del Consejo Regional Autónomo Atlántico Sur (CRAAS), expresa:</w:t>
      </w:r>
      <w:r w:rsidRPr="007E2512">
        <w:rPr>
          <w:rFonts w:ascii="Times New Roman" w:eastAsia="Times New Roman" w:hAnsi="Times New Roman" w:cs="Times New Roman"/>
          <w:i/>
          <w:color w:val="222222"/>
          <w:lang w:eastAsia="es-NI"/>
        </w:rPr>
        <w:t xml:space="preserve"> “…efectivamente proviene[n], de conformidad con la Constitución  Política de la  Autoridad legítimamente constituida y que los recurrentes en las calidades en que actúan, son autoridades comunales de los Municipios referidos, pero no forman parte del CRAAS, único con la representatividad y competencia para emitir resoluciones;</w:t>
      </w:r>
      <w:r w:rsidRPr="007E2512">
        <w:rPr>
          <w:rFonts w:ascii="Times New Roman" w:eastAsia="Times New Roman" w:hAnsi="Times New Roman" w:cs="Times New Roman"/>
          <w:b/>
          <w:i/>
          <w:color w:val="222222"/>
          <w:lang w:eastAsia="es-NI"/>
        </w:rPr>
        <w:t xml:space="preserve"> y que en consecuencia no tienen </w:t>
      </w:r>
      <w:proofErr w:type="spellStart"/>
      <w:r w:rsidRPr="007E2512">
        <w:rPr>
          <w:rFonts w:ascii="Times New Roman" w:eastAsia="Times New Roman" w:hAnsi="Times New Roman" w:cs="Times New Roman"/>
          <w:b/>
          <w:i/>
          <w:color w:val="222222"/>
          <w:lang w:eastAsia="es-NI"/>
        </w:rPr>
        <w:t>porque</w:t>
      </w:r>
      <w:proofErr w:type="spellEnd"/>
      <w:r w:rsidRPr="007E2512">
        <w:rPr>
          <w:rFonts w:ascii="Times New Roman" w:eastAsia="Times New Roman" w:hAnsi="Times New Roman" w:cs="Times New Roman"/>
          <w:b/>
          <w:i/>
          <w:color w:val="222222"/>
          <w:lang w:eastAsia="es-NI"/>
        </w:rPr>
        <w:t xml:space="preserve"> ser consultados.</w:t>
      </w:r>
    </w:p>
    <w:p w:rsidR="007E2512" w:rsidRPr="007E2512" w:rsidRDefault="007E2512" w:rsidP="007E2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lang w:eastAsia="es-NI"/>
        </w:rPr>
      </w:pPr>
    </w:p>
    <w:p w:rsidR="007E2512" w:rsidRPr="007E2512" w:rsidRDefault="007E2512" w:rsidP="007E2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lang w:eastAsia="es-NI"/>
        </w:rPr>
      </w:pPr>
      <w:r w:rsidRPr="007E2512">
        <w:rPr>
          <w:rFonts w:ascii="Times New Roman" w:eastAsia="Times New Roman" w:hAnsi="Times New Roman" w:cs="Times New Roman"/>
          <w:color w:val="222222"/>
          <w:lang w:eastAsia="es-NI"/>
        </w:rPr>
        <w:t>Sin embargo, en el Considerando VII  la Sentencia se contradice sobre el derecho a la consulta al acoger el argumento del Presidente de la República al expresar:</w:t>
      </w:r>
      <w:r w:rsidRPr="007E2512">
        <w:rPr>
          <w:rFonts w:ascii="Times New Roman" w:eastAsia="Times New Roman" w:hAnsi="Times New Roman" w:cs="Times New Roman"/>
          <w:i/>
          <w:color w:val="222222"/>
          <w:lang w:eastAsia="es-NI"/>
        </w:rPr>
        <w:t xml:space="preserve"> “las consultas de los pueblos originarios de la Costa Caribe que posiblemente sean afectado se tienen que hacer hasta que se tenga definida la ruta, para saber a qué autoridades se debe consultar”.</w:t>
      </w:r>
    </w:p>
    <w:p w:rsidR="007E2512" w:rsidRPr="007E2512" w:rsidRDefault="007E2512" w:rsidP="007E2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lang w:eastAsia="es-NI"/>
        </w:rPr>
      </w:pPr>
    </w:p>
    <w:p w:rsidR="007E2512" w:rsidRPr="007E2512" w:rsidRDefault="007E2512" w:rsidP="007E2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s-NI"/>
        </w:rPr>
      </w:pPr>
      <w:r w:rsidRPr="007E2512">
        <w:rPr>
          <w:rFonts w:ascii="Times New Roman" w:eastAsia="Times New Roman" w:hAnsi="Times New Roman" w:cs="Times New Roman"/>
          <w:color w:val="222222"/>
          <w:lang w:eastAsia="es-NI"/>
        </w:rPr>
        <w:t>De esta manera la Sentencia no les reconoce el derecho al consentimiento previa, libre e informada a los pueblos indígenas y comunidades afrodescendientes, establecido en el Convenio 169 de la OIT y en la Declaración de Naciones Unidas sobre los Derechos de los Pueblos Indígenas, pretendiendo “consultar” cuando ya se han tomado las decisiones sobre el proyecto a realizarse en sus tierras y territorios vaciando de contenido el proceso de consulta. Negándoselo  en el Considerando II, antes de aprobar el proyecto y la ley 840, violando así las garantías a la participación política de estos pueblos sobre temas tan fundamentales para ellos como son sus tierras y territorios, a pesar de lo que establece la sentencia de la Corte Interamericana de Derechos Humanos sobre participación política en el caso YATAMA Vs. Nicaragua; y desconociendo los derechos de propiedad a sus recursos naturales, ya que además la Ley 840 da la potestad de decidir sobre estos a la Comisión del Canal, en detrimento de los derechos de los pueblos indígenas y afrodescendientes establecidos en los artículos 5, 89 y 180 de la Constitución Política de Nicaragua como lo estableció también la Corte Interamericana en el emblemático caso de la comunidad Mayangna (sumo) Awas Tingni Vs. Nicaragua.</w:t>
      </w:r>
    </w:p>
    <w:p w:rsidR="007E2512" w:rsidRPr="007E2512" w:rsidRDefault="007E2512" w:rsidP="007E2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s-NI"/>
        </w:rPr>
      </w:pPr>
    </w:p>
    <w:p w:rsidR="007E2512" w:rsidRPr="007E2512" w:rsidRDefault="007E2512" w:rsidP="007E2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s-NI"/>
        </w:rPr>
      </w:pPr>
      <w:r w:rsidRPr="007E2512">
        <w:rPr>
          <w:rFonts w:ascii="Times New Roman" w:eastAsia="Times New Roman" w:hAnsi="Times New Roman" w:cs="Times New Roman"/>
          <w:color w:val="222222"/>
          <w:lang w:eastAsia="es-NI"/>
        </w:rPr>
        <w:t>La Sentencia de esta manera pretende que las consultas políticas a funcionarios públicos de  las Regiones Autónomas pueden suplantar las de los derechos de propiedad de los pueblos indígenas y afrodescendientes; la Sentencia como la Ley 840, privilegia la inversión de una empresa de capital transnacional privado sobre la propiedad colectiva tradicional e histórica de los pueblos indígenas de Nicaragua, sus recursos naturales y medioambiente, convirtiendo en un sofisma que “el bien común es superior al interés privado” al aplicarlo de manera inversa.</w:t>
      </w:r>
    </w:p>
    <w:p w:rsidR="007E2512" w:rsidRPr="007E2512" w:rsidRDefault="007E2512" w:rsidP="007E2512"/>
    <w:p w:rsidR="007D70D6" w:rsidRPr="007E2512" w:rsidRDefault="007D70D6" w:rsidP="007E2512">
      <w:pPr>
        <w:tabs>
          <w:tab w:val="left" w:pos="3570"/>
        </w:tabs>
      </w:pPr>
    </w:p>
    <w:sectPr w:rsidR="007D70D6" w:rsidRPr="007E2512" w:rsidSect="007E25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B69" w:rsidRDefault="00165B69" w:rsidP="008E1062">
      <w:pPr>
        <w:spacing w:after="0" w:line="240" w:lineRule="auto"/>
      </w:pPr>
      <w:r>
        <w:separator/>
      </w:r>
    </w:p>
  </w:endnote>
  <w:endnote w:type="continuationSeparator" w:id="0">
    <w:p w:rsidR="00165B69" w:rsidRDefault="00165B69" w:rsidP="008E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9D" w:rsidRDefault="00717F9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062" w:rsidRDefault="008E106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9D" w:rsidRDefault="00717F9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B69" w:rsidRDefault="00165B69" w:rsidP="008E1062">
      <w:pPr>
        <w:spacing w:after="0" w:line="240" w:lineRule="auto"/>
      </w:pPr>
      <w:r>
        <w:separator/>
      </w:r>
    </w:p>
  </w:footnote>
  <w:footnote w:type="continuationSeparator" w:id="0">
    <w:p w:rsidR="00165B69" w:rsidRDefault="00165B69" w:rsidP="008E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9D" w:rsidRDefault="00717F9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062" w:rsidRDefault="002F47DE" w:rsidP="008E1062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20956</wp:posOffset>
          </wp:positionH>
          <wp:positionV relativeFrom="paragraph">
            <wp:posOffset>-27940</wp:posOffset>
          </wp:positionV>
          <wp:extent cx="1257300" cy="1285875"/>
          <wp:effectExtent l="1905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LP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679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1062" w:rsidRPr="008E1062" w:rsidRDefault="00EE6824" w:rsidP="008E1062">
    <w:pPr>
      <w:pStyle w:val="Encabezado"/>
    </w:pPr>
    <w:bookmarkStart w:id="0" w:name="_GoBack"/>
    <w:bookmarkEnd w:id="0"/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4.15pt;margin-top:18.85pt;width:502.5pt;height:26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" filled="f" stroked="f">
          <v:textbox style="mso-next-textbox:#_x0000_s4097">
            <w:txbxContent>
              <w:p w:rsidR="008E1062" w:rsidRPr="002F47DE" w:rsidRDefault="00EE6824" w:rsidP="00063AAC">
                <w:pPr>
                  <w:pStyle w:val="Ttulo1"/>
                  <w:spacing w:before="0" w:beforeAutospacing="0" w:after="0" w:afterAutospacing="0" w:line="312" w:lineRule="atLeast"/>
                  <w:textAlignment w:val="baseline"/>
                  <w:rPr>
                    <w:rFonts w:ascii="Arial Narrow" w:hAnsi="Arial Narrow" w:cs="Arial"/>
                    <w:i/>
                    <w:color w:val="000066"/>
                    <w:sz w:val="36"/>
                    <w:szCs w:val="36"/>
                    <w:u w:val="single"/>
                  </w:rPr>
                </w:pPr>
                <w:r>
                  <w:fldChar w:fldCharType="begin"/>
                </w:r>
                <w:r w:rsidR="00355ACA">
                  <w:instrText>HYPERLINK "http://www.calpi-nicaragua.org/" \o "Centro de Asistencia Legal a Pueblos Indígenas"</w:instrText>
                </w:r>
                <w:r>
                  <w:fldChar w:fldCharType="separate"/>
                </w:r>
                <w:r w:rsidR="00063AAC" w:rsidRPr="002F47DE">
                  <w:rPr>
                    <w:rFonts w:ascii="Arial Narrow" w:hAnsi="Arial Narrow" w:cs="Arial"/>
                    <w:i/>
                    <w:color w:val="000066"/>
                    <w:sz w:val="36"/>
                    <w:szCs w:val="36"/>
                  </w:rPr>
                  <w:t xml:space="preserve"> </w:t>
                </w:r>
                <w:r w:rsidR="002F47DE" w:rsidRPr="002F47DE">
                  <w:rPr>
                    <w:rFonts w:ascii="Arial Narrow" w:hAnsi="Arial Narrow" w:cs="Arial"/>
                    <w:i/>
                    <w:color w:val="000066"/>
                    <w:sz w:val="36"/>
                    <w:szCs w:val="36"/>
                  </w:rPr>
                  <w:t xml:space="preserve">       </w:t>
                </w:r>
                <w:r w:rsidR="002F47DE" w:rsidRPr="002F47DE">
                  <w:rPr>
                    <w:rFonts w:ascii="Arial Narrow" w:hAnsi="Arial Narrow" w:cs="Arial"/>
                    <w:i/>
                    <w:color w:val="000066"/>
                    <w:sz w:val="36"/>
                    <w:szCs w:val="36"/>
                  </w:rPr>
                  <w:tab/>
                  <w:t xml:space="preserve">  </w:t>
                </w:r>
                <w:r w:rsidR="00063AAC" w:rsidRPr="002F47DE">
                  <w:rPr>
                    <w:rStyle w:val="Hipervnculo"/>
                    <w:rFonts w:ascii="Arial Narrow" w:hAnsi="Arial Narrow" w:cs="Arial"/>
                    <w:bCs w:val="0"/>
                    <w:i/>
                    <w:color w:val="000099"/>
                    <w:sz w:val="36"/>
                    <w:szCs w:val="36"/>
                    <w:bdr w:val="none" w:sz="0" w:space="0" w:color="auto" w:frame="1"/>
                  </w:rPr>
                  <w:t>C</w:t>
                </w:r>
                <w:r w:rsidR="008E1062" w:rsidRPr="002F47DE">
                  <w:rPr>
                    <w:rStyle w:val="Hipervnculo"/>
                    <w:rFonts w:ascii="Arial Narrow" w:hAnsi="Arial Narrow" w:cs="Arial"/>
                    <w:bCs w:val="0"/>
                    <w:i/>
                    <w:color w:val="000099"/>
                    <w:sz w:val="36"/>
                    <w:szCs w:val="36"/>
                    <w:bdr w:val="none" w:sz="0" w:space="0" w:color="auto" w:frame="1"/>
                  </w:rPr>
                  <w:t>entro de Asistencia Legal a Pueblos Indígena</w:t>
                </w:r>
                <w:r w:rsidR="002F47DE" w:rsidRPr="002F47DE">
                  <w:rPr>
                    <w:rStyle w:val="Hipervnculo"/>
                    <w:rFonts w:ascii="Arial Narrow" w:hAnsi="Arial Narrow" w:cs="Arial"/>
                    <w:bCs w:val="0"/>
                    <w:i/>
                    <w:color w:val="000099"/>
                    <w:sz w:val="36"/>
                    <w:szCs w:val="36"/>
                    <w:bdr w:val="none" w:sz="0" w:space="0" w:color="auto" w:frame="1"/>
                  </w:rPr>
                  <w:t>s (CALPI)</w:t>
                </w:r>
                <w:r>
                  <w:fldChar w:fldCharType="end"/>
                </w:r>
                <w:r w:rsidR="002F47DE" w:rsidRPr="002F47DE">
                  <w:rPr>
                    <w:rFonts w:ascii="Arial Narrow" w:hAnsi="Arial Narrow"/>
                    <w:i/>
                    <w:sz w:val="36"/>
                    <w:szCs w:val="36"/>
                    <w:u w:val="single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lang w:eastAsia="es-ES"/>
      </w:rPr>
      <w:pict>
        <v:shape id="Cuadro de texto 2" o:spid="_x0000_s4098" type="#_x0000_t202" style="position:absolute;margin-left:88.65pt;margin-top:36.85pt;width:420.75pt;height:2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" filled="f" stroked="f">
          <v:textbox style="mso-next-textbox:#Cuadro de texto 2">
            <w:txbxContent>
              <w:p w:rsidR="00717F9D" w:rsidRPr="002F47DE" w:rsidRDefault="002F47DE" w:rsidP="00717F9D">
                <w:pPr>
                  <w:pStyle w:val="Ttulo1"/>
                  <w:spacing w:before="0" w:beforeAutospacing="0" w:after="0" w:afterAutospacing="0" w:line="312" w:lineRule="atLeast"/>
                  <w:textAlignment w:val="baseline"/>
                  <w:rPr>
                    <w:rFonts w:ascii="Arial" w:hAnsi="Arial" w:cs="Arial"/>
                    <w:i/>
                    <w:color w:val="365F91" w:themeColor="accent1" w:themeShade="BF"/>
                    <w:sz w:val="20"/>
                    <w:szCs w:val="20"/>
                  </w:rPr>
                </w:pPr>
                <w:r>
                  <w:rPr>
                    <w:rStyle w:val="apple-style-span"/>
                    <w:rFonts w:ascii="Arial" w:hAnsi="Arial" w:cs="Arial"/>
                    <w:bCs w:val="0"/>
                    <w:i/>
                    <w:color w:val="365F91" w:themeColor="accent1" w:themeShade="BF"/>
                    <w:sz w:val="20"/>
                    <w:szCs w:val="20"/>
                    <w:bdr w:val="none" w:sz="0" w:space="0" w:color="auto" w:frame="1"/>
                  </w:rPr>
                  <w:t xml:space="preserve">   </w:t>
                </w:r>
                <w:r w:rsidR="00717F9D" w:rsidRPr="002F47DE">
                  <w:rPr>
                    <w:rStyle w:val="apple-style-span"/>
                    <w:rFonts w:ascii="Arial" w:hAnsi="Arial" w:cs="Arial"/>
                    <w:bCs w:val="0"/>
                    <w:i/>
                    <w:color w:val="365F91" w:themeColor="accent1" w:themeShade="BF"/>
                    <w:sz w:val="20"/>
                    <w:szCs w:val="20"/>
                    <w:bdr w:val="none" w:sz="0" w:space="0" w:color="auto" w:frame="1"/>
                  </w:rPr>
                  <w:t>http://www.calpi-nicaragua.org</w:t>
                </w:r>
                <w:r w:rsidR="00717F9D" w:rsidRPr="002F47DE">
                  <w:rPr>
                    <w:rFonts w:ascii="Arial" w:hAnsi="Arial" w:cs="Arial"/>
                    <w:i/>
                    <w:color w:val="365F91" w:themeColor="accent1" w:themeShade="BF"/>
                    <w:sz w:val="20"/>
                    <w:szCs w:val="20"/>
                  </w:rPr>
                  <w:t xml:space="preserve"> |  </w:t>
                </w:r>
                <w:hyperlink r:id="rId2" w:history="1">
                  <w:r w:rsidR="00C649CF" w:rsidRPr="002F47DE">
                    <w:rPr>
                      <w:rStyle w:val="Hipervnculo"/>
                      <w:rFonts w:ascii="Arial" w:hAnsi="Arial" w:cs="Arial"/>
                      <w:bCs w:val="0"/>
                      <w:i/>
                      <w:color w:val="365F91" w:themeColor="accent1" w:themeShade="BF"/>
                      <w:sz w:val="20"/>
                      <w:szCs w:val="20"/>
                      <w:bdr w:val="none" w:sz="0" w:space="0" w:color="auto" w:frame="1"/>
                    </w:rPr>
                    <w:t>calpi.2014@gmail.</w:t>
                  </w:r>
                </w:hyperlink>
                <w:proofErr w:type="gramStart"/>
                <w:r w:rsidR="00063AAC" w:rsidRPr="002F47DE">
                  <w:rPr>
                    <w:rStyle w:val="apple-style-span"/>
                    <w:rFonts w:ascii="Arial" w:hAnsi="Arial" w:cs="Arial"/>
                    <w:bCs w:val="0"/>
                    <w:i/>
                    <w:color w:val="365F91" w:themeColor="accent1" w:themeShade="BF"/>
                    <w:sz w:val="20"/>
                    <w:szCs w:val="20"/>
                    <w:bdr w:val="none" w:sz="0" w:space="0" w:color="auto" w:frame="1"/>
                  </w:rPr>
                  <w:t>com</w:t>
                </w:r>
                <w:proofErr w:type="gramEnd"/>
                <w:r w:rsidR="00717F9D" w:rsidRPr="002F47DE">
                  <w:rPr>
                    <w:rStyle w:val="apple-style-span"/>
                    <w:rFonts w:ascii="Arial" w:hAnsi="Arial" w:cs="Arial"/>
                    <w:bCs w:val="0"/>
                    <w:i/>
                    <w:color w:val="365F91" w:themeColor="accent1" w:themeShade="BF"/>
                    <w:sz w:val="20"/>
                    <w:szCs w:val="20"/>
                    <w:bdr w:val="none" w:sz="0" w:space="0" w:color="auto" w:frame="1"/>
                  </w:rPr>
                  <w:t xml:space="preserve"> |  tel.: (505) 8853 3285</w:t>
                </w:r>
              </w:p>
              <w:p w:rsidR="00063AAC" w:rsidRDefault="00063AAC" w:rsidP="00063AAC">
                <w:pPr>
                  <w:pStyle w:val="Ttulo1"/>
                  <w:spacing w:before="0" w:beforeAutospacing="0" w:after="0" w:afterAutospacing="0" w:line="312" w:lineRule="atLeast"/>
                  <w:textAlignment w:val="baseline"/>
                  <w:rPr>
                    <w:rStyle w:val="apple-style-span"/>
                    <w:rFonts w:ascii="Arial" w:hAnsi="Arial" w:cs="Arial"/>
                    <w:bCs w:val="0"/>
                    <w:color w:val="002060"/>
                    <w:sz w:val="20"/>
                    <w:szCs w:val="20"/>
                    <w:bdr w:val="none" w:sz="0" w:space="0" w:color="auto" w:frame="1"/>
                  </w:rPr>
                </w:pPr>
              </w:p>
              <w:p w:rsidR="00063AAC" w:rsidRDefault="00063AAC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9D" w:rsidRDefault="00717F9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E1062"/>
    <w:rsid w:val="00054DF5"/>
    <w:rsid w:val="00063AAC"/>
    <w:rsid w:val="00165B69"/>
    <w:rsid w:val="002D3F65"/>
    <w:rsid w:val="002F47DE"/>
    <w:rsid w:val="00355ACA"/>
    <w:rsid w:val="00390FD8"/>
    <w:rsid w:val="00542E88"/>
    <w:rsid w:val="00595E90"/>
    <w:rsid w:val="006C4E6D"/>
    <w:rsid w:val="00717F9D"/>
    <w:rsid w:val="007907B2"/>
    <w:rsid w:val="007D70D6"/>
    <w:rsid w:val="007E2512"/>
    <w:rsid w:val="008814DE"/>
    <w:rsid w:val="008E1062"/>
    <w:rsid w:val="00C25A9D"/>
    <w:rsid w:val="00C649CF"/>
    <w:rsid w:val="00E55F7E"/>
    <w:rsid w:val="00EE6824"/>
    <w:rsid w:val="00FA07B2"/>
    <w:rsid w:val="00FB6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F65"/>
    <w:rPr>
      <w:lang w:val="es-NI"/>
    </w:rPr>
  </w:style>
  <w:style w:type="paragraph" w:styleId="Ttulo1">
    <w:name w:val="heading 1"/>
    <w:basedOn w:val="Normal"/>
    <w:link w:val="Ttulo1Car"/>
    <w:uiPriority w:val="9"/>
    <w:qFormat/>
    <w:rsid w:val="00063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1062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E1062"/>
  </w:style>
  <w:style w:type="paragraph" w:styleId="Piedepgina">
    <w:name w:val="footer"/>
    <w:basedOn w:val="Normal"/>
    <w:link w:val="PiedepginaCar"/>
    <w:uiPriority w:val="99"/>
    <w:unhideWhenUsed/>
    <w:rsid w:val="008E1062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1062"/>
  </w:style>
  <w:style w:type="paragraph" w:styleId="Textodeglobo">
    <w:name w:val="Balloon Text"/>
    <w:basedOn w:val="Normal"/>
    <w:link w:val="TextodegloboCar"/>
    <w:uiPriority w:val="99"/>
    <w:semiHidden/>
    <w:unhideWhenUsed/>
    <w:rsid w:val="008E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06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8E1062"/>
  </w:style>
  <w:style w:type="character" w:styleId="Hipervnculo">
    <w:name w:val="Hyperlink"/>
    <w:basedOn w:val="Fuentedeprrafopredeter"/>
    <w:uiPriority w:val="99"/>
    <w:unhideWhenUsed/>
    <w:rsid w:val="008E1062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63AA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63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1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1062"/>
  </w:style>
  <w:style w:type="paragraph" w:styleId="Piedepgina">
    <w:name w:val="footer"/>
    <w:basedOn w:val="Normal"/>
    <w:link w:val="PiedepginaCar"/>
    <w:uiPriority w:val="99"/>
    <w:unhideWhenUsed/>
    <w:rsid w:val="008E1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062"/>
  </w:style>
  <w:style w:type="paragraph" w:styleId="Textodeglobo">
    <w:name w:val="Balloon Text"/>
    <w:basedOn w:val="Normal"/>
    <w:link w:val="TextodegloboCar"/>
    <w:uiPriority w:val="99"/>
    <w:semiHidden/>
    <w:unhideWhenUsed/>
    <w:rsid w:val="008E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06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8E1062"/>
  </w:style>
  <w:style w:type="character" w:styleId="Hipervnculo">
    <w:name w:val="Hyperlink"/>
    <w:basedOn w:val="Fuentedeprrafopredeter"/>
    <w:uiPriority w:val="99"/>
    <w:unhideWhenUsed/>
    <w:rsid w:val="008E1062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63AA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lpi.2014@gmail.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9372B-F6B5-46CA-9A8C-78F244DD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695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Admin</cp:lastModifiedBy>
  <cp:revision>2</cp:revision>
  <dcterms:created xsi:type="dcterms:W3CDTF">2015-01-04T09:40:00Z</dcterms:created>
  <dcterms:modified xsi:type="dcterms:W3CDTF">2015-01-04T09:40:00Z</dcterms:modified>
</cp:coreProperties>
</file>